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2C" w:rsidRPr="0026515A" w:rsidRDefault="00DE022C" w:rsidP="00500AFD">
      <w:pPr>
        <w:framePr w:w="10310" w:h="15346" w:hRule="exact" w:wrap="none" w:vAnchor="page" w:hAnchor="page" w:x="1009" w:y="713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</w:pPr>
      <w:bookmarkStart w:id="0" w:name="bookmark0"/>
      <w:r w:rsidRPr="0026515A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>Министерство здравоохранения Республики Дагестан</w:t>
      </w:r>
    </w:p>
    <w:p w:rsidR="00DE022C" w:rsidRPr="0026515A" w:rsidRDefault="00DE022C" w:rsidP="00500AFD">
      <w:pPr>
        <w:framePr w:w="10310" w:h="15346" w:hRule="exact" w:wrap="none" w:vAnchor="page" w:hAnchor="page" w:x="1009" w:y="713"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</w:pPr>
      <w:r w:rsidRPr="0026515A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>ГБУ РД «Республиканский центр общественного здоровья и медицинской профилактики»</w:t>
      </w:r>
    </w:p>
    <w:p w:rsidR="00DE022C" w:rsidRDefault="00DE022C" w:rsidP="00500AFD">
      <w:pPr>
        <w:pStyle w:val="10"/>
        <w:framePr w:w="10310" w:h="15346" w:hRule="exact" w:wrap="none" w:vAnchor="page" w:hAnchor="page" w:x="1009" w:y="713"/>
        <w:shd w:val="clear" w:color="auto" w:fill="auto"/>
        <w:ind w:left="1080"/>
      </w:pPr>
    </w:p>
    <w:p w:rsidR="0026515A" w:rsidRDefault="0026515A" w:rsidP="00500AFD">
      <w:pPr>
        <w:pStyle w:val="10"/>
        <w:framePr w:w="10310" w:h="15346" w:hRule="exact" w:wrap="none" w:vAnchor="page" w:hAnchor="page" w:x="1009" w:y="713"/>
        <w:shd w:val="clear" w:color="auto" w:fill="auto"/>
        <w:ind w:left="1080"/>
        <w:rPr>
          <w:color w:val="002060"/>
          <w:sz w:val="28"/>
          <w:szCs w:val="28"/>
        </w:rPr>
      </w:pPr>
    </w:p>
    <w:p w:rsidR="00902FB4" w:rsidRPr="006B04B4" w:rsidRDefault="009D7BFF" w:rsidP="00500AFD">
      <w:pPr>
        <w:pStyle w:val="10"/>
        <w:framePr w:w="10310" w:h="15346" w:hRule="exact" w:wrap="none" w:vAnchor="page" w:hAnchor="page" w:x="1009" w:y="713"/>
        <w:shd w:val="clear" w:color="auto" w:fill="auto"/>
        <w:ind w:left="1080"/>
        <w:rPr>
          <w:color w:val="002060"/>
          <w:sz w:val="28"/>
          <w:szCs w:val="28"/>
        </w:rPr>
      </w:pPr>
      <w:r w:rsidRPr="006B04B4">
        <w:rPr>
          <w:color w:val="002060"/>
          <w:sz w:val="28"/>
          <w:szCs w:val="28"/>
        </w:rPr>
        <w:t>Памятка для родителей, разработанная министерством образования</w:t>
      </w:r>
      <w:r w:rsidRPr="006B04B4">
        <w:rPr>
          <w:color w:val="002060"/>
          <w:sz w:val="28"/>
          <w:szCs w:val="28"/>
        </w:rPr>
        <w:br/>
      </w:r>
      <w:bookmarkEnd w:id="0"/>
    </w:p>
    <w:p w:rsidR="00902FB4" w:rsidRDefault="009D7BFF" w:rsidP="00500AFD">
      <w:pPr>
        <w:pStyle w:val="20"/>
        <w:framePr w:w="10310" w:h="15346" w:hRule="exact" w:wrap="none" w:vAnchor="page" w:hAnchor="page" w:x="1009" w:y="713"/>
        <w:shd w:val="clear" w:color="auto" w:fill="auto"/>
        <w:spacing w:before="0"/>
        <w:ind w:firstLine="780"/>
      </w:pPr>
      <w:r w:rsidRPr="006B04B4">
        <w:rPr>
          <w:rStyle w:val="21"/>
          <w:color w:val="002060"/>
        </w:rPr>
        <w:t>П</w:t>
      </w:r>
      <w:r w:rsidRPr="006B04B4">
        <w:rPr>
          <w:rStyle w:val="21"/>
          <w:color w:val="002060"/>
        </w:rPr>
        <w:t xml:space="preserve">олиомиелит </w:t>
      </w:r>
      <w:r>
        <w:t>(детский инфекционное спинномозговой паралич, ВАПП) —</w:t>
      </w:r>
    </w:p>
    <w:p w:rsidR="00902FB4" w:rsidRDefault="009D7BFF" w:rsidP="00500AFD">
      <w:pPr>
        <w:pStyle w:val="20"/>
        <w:framePr w:w="10310" w:h="15346" w:hRule="exact" w:wrap="none" w:vAnchor="page" w:hAnchor="page" w:x="1009" w:y="713"/>
        <w:shd w:val="clear" w:color="auto" w:fill="auto"/>
        <w:spacing w:before="0"/>
      </w:pPr>
      <w:r>
        <w:t>з</w:t>
      </w:r>
      <w:r>
        <w:t xml:space="preserve">аболевание, поражающее нервную систему </w:t>
      </w:r>
      <w:r>
        <w:t>и</w:t>
      </w:r>
      <w:r>
        <w:br/>
        <w:t>вызывающее полный паралич. Вирус</w:t>
      </w:r>
      <w:r>
        <w:br/>
        <w:t>попадает в организм через рот и размножается</w:t>
      </w:r>
      <w:r>
        <w:br/>
        <w:t>в кишечнике.</w:t>
      </w:r>
    </w:p>
    <w:p w:rsidR="00902FB4" w:rsidRDefault="009D7BFF" w:rsidP="00500AFD">
      <w:pPr>
        <w:pStyle w:val="20"/>
        <w:framePr w:w="10310" w:h="15346" w:hRule="exact" w:wrap="none" w:vAnchor="page" w:hAnchor="page" w:x="1009" w:y="713"/>
        <w:shd w:val="clear" w:color="auto" w:fill="auto"/>
        <w:spacing w:before="0" w:line="341" w:lineRule="exact"/>
        <w:ind w:firstLine="780"/>
      </w:pPr>
      <w:r>
        <w:t>ВАПП возникает у не привитых детей</w:t>
      </w:r>
      <w:r>
        <w:br/>
        <w:t>(преимущественно детей с нарушением</w:t>
      </w:r>
      <w:r>
        <w:br/>
        <w:t>состояния иммунитета) при их тесном</w:t>
      </w:r>
      <w:r>
        <w:br/>
        <w:t>контакте с детьми, недавно (до 2 месяцев)</w:t>
      </w:r>
      <w:r>
        <w:br/>
        <w:t>вакцинированны</w:t>
      </w:r>
      <w:r>
        <w:t>ми живой оральной</w:t>
      </w:r>
      <w:r>
        <w:br/>
        <w:t>полиомиелитной вакциной.</w:t>
      </w:r>
    </w:p>
    <w:p w:rsidR="006B04B4" w:rsidRDefault="006B04B4" w:rsidP="006B04B4">
      <w:pPr>
        <w:pStyle w:val="30"/>
        <w:framePr w:w="10310" w:h="15346" w:hRule="exact" w:wrap="none" w:vAnchor="page" w:hAnchor="page" w:x="1009" w:y="713"/>
        <w:shd w:val="clear" w:color="auto" w:fill="auto"/>
        <w:spacing w:after="0" w:line="240" w:lineRule="auto"/>
        <w:ind w:firstLine="780"/>
        <w:rPr>
          <w:color w:val="002060"/>
        </w:rPr>
      </w:pPr>
    </w:p>
    <w:p w:rsidR="00902FB4" w:rsidRDefault="009D7BFF" w:rsidP="006B04B4">
      <w:pPr>
        <w:pStyle w:val="30"/>
        <w:framePr w:w="10310" w:h="15346" w:hRule="exact" w:wrap="none" w:vAnchor="page" w:hAnchor="page" w:x="1009" w:y="713"/>
        <w:shd w:val="clear" w:color="auto" w:fill="auto"/>
        <w:spacing w:after="0" w:line="240" w:lineRule="auto"/>
        <w:ind w:firstLine="780"/>
      </w:pPr>
      <w:r w:rsidRPr="006B04B4">
        <w:rPr>
          <w:color w:val="002060"/>
        </w:rPr>
        <w:t>Первоначальными симптомами</w:t>
      </w:r>
      <w:r w:rsidRPr="006B04B4">
        <w:rPr>
          <w:color w:val="002060"/>
        </w:rPr>
        <w:br/>
      </w:r>
      <w:r>
        <w:rPr>
          <w:rStyle w:val="31"/>
        </w:rPr>
        <w:t>являются: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right="5136" w:firstLine="780"/>
        <w:jc w:val="both"/>
      </w:pPr>
      <w:r>
        <w:t>высокая температура;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right="5136" w:firstLine="780"/>
        <w:jc w:val="both"/>
      </w:pPr>
      <w:r>
        <w:t>усталость;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right="5136" w:firstLine="780"/>
        <w:jc w:val="both"/>
      </w:pPr>
      <w:r>
        <w:t>головная боль;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right="5136" w:firstLine="780"/>
        <w:jc w:val="both"/>
      </w:pPr>
      <w:r>
        <w:t>тошнота;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right="5136" w:firstLine="780"/>
        <w:jc w:val="both"/>
      </w:pPr>
      <w:r>
        <w:t>ригидность шеи;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right="5136" w:firstLine="780"/>
        <w:jc w:val="both"/>
      </w:pPr>
      <w:r>
        <w:t>боль в конечностях.</w:t>
      </w:r>
    </w:p>
    <w:p w:rsidR="00902FB4" w:rsidRPr="00121F97" w:rsidRDefault="009D7BFF" w:rsidP="006B04B4">
      <w:pPr>
        <w:pStyle w:val="20"/>
        <w:framePr w:w="10310" w:h="15346" w:hRule="exact" w:wrap="none" w:vAnchor="page" w:hAnchor="page" w:x="1009" w:y="713"/>
        <w:shd w:val="clear" w:color="auto" w:fill="auto"/>
        <w:spacing w:before="0" w:line="240" w:lineRule="auto"/>
        <w:ind w:right="5136" w:firstLine="780"/>
        <w:jc w:val="both"/>
        <w:rPr>
          <w:color w:val="FF0000"/>
        </w:rPr>
      </w:pPr>
      <w:r>
        <w:t xml:space="preserve">Полиомиелит - </w:t>
      </w:r>
      <w:r w:rsidRPr="00121F97">
        <w:rPr>
          <w:rStyle w:val="22"/>
          <w:color w:val="FF0000"/>
        </w:rPr>
        <w:t>инвалидизирующее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shd w:val="clear" w:color="auto" w:fill="auto"/>
        <w:spacing w:before="0" w:line="240" w:lineRule="auto"/>
      </w:pPr>
      <w:r w:rsidRPr="00121F97">
        <w:rPr>
          <w:rStyle w:val="22"/>
          <w:color w:val="FF0000"/>
        </w:rPr>
        <w:t>заболевание</w:t>
      </w:r>
      <w:r w:rsidRPr="00121F97">
        <w:rPr>
          <w:color w:val="FF0000"/>
        </w:rPr>
        <w:t xml:space="preserve">. </w:t>
      </w:r>
      <w:r>
        <w:t xml:space="preserve">Параличи при полиомиелите носят </w:t>
      </w:r>
      <w:r>
        <w:t>необратимый характер.</w:t>
      </w:r>
    </w:p>
    <w:p w:rsidR="006B04B4" w:rsidRDefault="006B04B4" w:rsidP="006B04B4">
      <w:pPr>
        <w:pStyle w:val="10"/>
        <w:framePr w:w="10310" w:h="15346" w:hRule="exact" w:wrap="none" w:vAnchor="page" w:hAnchor="page" w:x="1009" w:y="713"/>
        <w:shd w:val="clear" w:color="auto" w:fill="auto"/>
        <w:spacing w:line="240" w:lineRule="auto"/>
        <w:ind w:left="1420"/>
        <w:rPr>
          <w:color w:val="FF0000"/>
        </w:rPr>
      </w:pPr>
      <w:bookmarkStart w:id="1" w:name="bookmark1"/>
    </w:p>
    <w:p w:rsidR="00902FB4" w:rsidRPr="006B04B4" w:rsidRDefault="009D7BFF" w:rsidP="006B04B4">
      <w:pPr>
        <w:pStyle w:val="10"/>
        <w:framePr w:w="10310" w:h="15346" w:hRule="exact" w:wrap="none" w:vAnchor="page" w:hAnchor="page" w:x="1009" w:y="713"/>
        <w:shd w:val="clear" w:color="auto" w:fill="auto"/>
        <w:spacing w:line="240" w:lineRule="auto"/>
        <w:ind w:left="1420"/>
        <w:rPr>
          <w:color w:val="FF0000"/>
        </w:rPr>
      </w:pPr>
      <w:r w:rsidRPr="006B04B4">
        <w:rPr>
          <w:color w:val="FF0000"/>
        </w:rPr>
        <w:t>Родитель, помни! Полиомиелит неизлечим, но его можно предупредить!</w:t>
      </w:r>
      <w:bookmarkEnd w:id="1"/>
    </w:p>
    <w:p w:rsidR="00902FB4" w:rsidRPr="006B04B4" w:rsidRDefault="009D7BFF" w:rsidP="006B04B4">
      <w:pPr>
        <w:pStyle w:val="30"/>
        <w:framePr w:w="10310" w:h="15346" w:hRule="exact" w:wrap="none" w:vAnchor="page" w:hAnchor="page" w:x="1009" w:y="713"/>
        <w:shd w:val="clear" w:color="auto" w:fill="auto"/>
        <w:spacing w:after="0" w:line="240" w:lineRule="auto"/>
        <w:ind w:right="300"/>
        <w:jc w:val="right"/>
        <w:rPr>
          <w:color w:val="FF0000"/>
        </w:rPr>
      </w:pPr>
      <w:r w:rsidRPr="006B04B4">
        <w:rPr>
          <w:color w:val="FF0000"/>
        </w:rPr>
        <w:t xml:space="preserve">Единственный надежный способ борьбы с полиомиелитом </w:t>
      </w:r>
      <w:r w:rsidRPr="006B04B4">
        <w:rPr>
          <w:rStyle w:val="31"/>
          <w:color w:val="FF0000"/>
        </w:rPr>
        <w:t xml:space="preserve">- </w:t>
      </w:r>
      <w:r w:rsidRPr="006B04B4">
        <w:rPr>
          <w:color w:val="FF0000"/>
        </w:rPr>
        <w:t>ВАКЦИНАЦИЯ.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shd w:val="clear" w:color="auto" w:fill="auto"/>
        <w:spacing w:before="0" w:line="240" w:lineRule="auto"/>
        <w:ind w:firstLine="780"/>
        <w:jc w:val="both"/>
      </w:pPr>
      <w:r>
        <w:t xml:space="preserve">В Российской Федерации иммунизация против полиомиелита осуществляется в соответствии с Национальным </w:t>
      </w:r>
      <w:r>
        <w:t>календарем профилактических прививок и календарем прививок по эпидемическим показаниям (приказ Министерства здравоохранения Российской Федерации от 06.12.2021 № 1122н) вакцинами, зарегистрированными на территории Российской Федерации.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shd w:val="clear" w:color="auto" w:fill="auto"/>
        <w:spacing w:before="0" w:line="240" w:lineRule="auto"/>
        <w:ind w:firstLine="780"/>
        <w:jc w:val="both"/>
      </w:pPr>
      <w:r>
        <w:t>Схема иммунизации: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40" w:lineRule="auto"/>
        <w:ind w:firstLine="780"/>
      </w:pPr>
      <w:r>
        <w:t>ва</w:t>
      </w:r>
      <w:r>
        <w:t>кцинация состоит из трех прививок и проводится детям в возрасте 3, 4/5 и 6 месяцев с использованием инактивированной вакцины против полиомиелита (ИПВ);</w:t>
      </w:r>
    </w:p>
    <w:p w:rsidR="00902FB4" w:rsidRDefault="009D7BFF" w:rsidP="006B04B4">
      <w:pPr>
        <w:pStyle w:val="20"/>
        <w:framePr w:w="10310" w:h="15346" w:hRule="exact" w:wrap="none" w:vAnchor="page" w:hAnchor="page" w:x="1009" w:y="713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40" w:lineRule="auto"/>
        <w:ind w:firstLine="780"/>
      </w:pPr>
      <w:r>
        <w:t>ревакцинация состоит также из 3 прививок и проводится детям в возрасте 18, 20 месяцев и 6 лет с использо</w:t>
      </w:r>
      <w:r>
        <w:t>ванием оральной полиомиелитной вакцины (ОПВ).</w:t>
      </w:r>
    </w:p>
    <w:p w:rsidR="006B04B4" w:rsidRDefault="006B04B4" w:rsidP="006B04B4">
      <w:pPr>
        <w:pStyle w:val="20"/>
        <w:framePr w:w="10310" w:h="15346" w:hRule="exact" w:wrap="none" w:vAnchor="page" w:hAnchor="page" w:x="1009" w:y="713"/>
        <w:shd w:val="clear" w:color="auto" w:fill="auto"/>
        <w:spacing w:before="0" w:line="240" w:lineRule="auto"/>
        <w:ind w:firstLine="780"/>
        <w:jc w:val="both"/>
        <w:rPr>
          <w:rStyle w:val="21"/>
        </w:rPr>
      </w:pPr>
    </w:p>
    <w:p w:rsidR="00902FB4" w:rsidRDefault="009D7BFF" w:rsidP="006B04B4">
      <w:pPr>
        <w:pStyle w:val="20"/>
        <w:framePr w:w="10310" w:h="15346" w:hRule="exact" w:wrap="none" w:vAnchor="page" w:hAnchor="page" w:x="1009" w:y="713"/>
        <w:shd w:val="clear" w:color="auto" w:fill="auto"/>
        <w:spacing w:before="0" w:line="240" w:lineRule="auto"/>
        <w:ind w:firstLine="780"/>
        <w:jc w:val="both"/>
      </w:pPr>
      <w:r>
        <w:rPr>
          <w:rStyle w:val="21"/>
        </w:rPr>
        <w:t xml:space="preserve">ВАЖНО! </w:t>
      </w:r>
      <w:r>
        <w:t>На основании Постановления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</w:t>
      </w:r>
      <w:r>
        <w:t>вания по профилактике инфекционных болезней» руководители медицинских организаций, организаций, осуществляющих образовательную деятельность проводят разобщение детей, не имеющих сведений об иммунизации против полиомиелита, не привитых против полиомиелита и</w:t>
      </w:r>
      <w:r>
        <w:t>ли</w:t>
      </w:r>
    </w:p>
    <w:bookmarkStart w:id="2" w:name="_GoBack"/>
    <w:p w:rsidR="00902FB4" w:rsidRDefault="009D7BFF" w:rsidP="00121F97">
      <w:pPr>
        <w:framePr w:wrap="none" w:vAnchor="page" w:hAnchor="page" w:x="6586" w:y="381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 w:rsidR="00121F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38.5pt;height:284.25pt">
            <v:imagedata r:id="rId7" r:href="rId8"/>
          </v:shape>
        </w:pict>
      </w:r>
      <w:r>
        <w:fldChar w:fldCharType="end"/>
      </w:r>
      <w:bookmarkEnd w:id="2"/>
    </w:p>
    <w:p w:rsidR="00902FB4" w:rsidRDefault="00902FB4">
      <w:pPr>
        <w:rPr>
          <w:sz w:val="2"/>
          <w:szCs w:val="2"/>
        </w:rPr>
        <w:sectPr w:rsidR="00902F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2FB4" w:rsidRDefault="009D7BFF" w:rsidP="006B04B4">
      <w:pPr>
        <w:pStyle w:val="20"/>
        <w:framePr w:w="10306" w:h="14926" w:hRule="exact" w:wrap="none" w:vAnchor="page" w:hAnchor="page" w:x="1009" w:y="711"/>
        <w:shd w:val="clear" w:color="auto" w:fill="auto"/>
        <w:spacing w:before="0" w:line="350" w:lineRule="exact"/>
        <w:jc w:val="both"/>
      </w:pPr>
      <w:r>
        <w:lastRenderedPageBreak/>
        <w:t>получивших менее 3 доз полиомиелитной вакцины, с детьми, привитыми вакциной ОПВ в течение последних 60 календарных дней, на срок 60 календарных</w:t>
      </w:r>
      <w:r>
        <w:t xml:space="preserve"> дней с момента получения детьми последней прививки ОПВ.</w:t>
      </w:r>
    </w:p>
    <w:p w:rsidR="00902FB4" w:rsidRDefault="009D7BFF" w:rsidP="006B04B4">
      <w:pPr>
        <w:pStyle w:val="20"/>
        <w:framePr w:w="10306" w:h="14926" w:hRule="exact" w:wrap="none" w:vAnchor="page" w:hAnchor="page" w:x="1009" w:y="711"/>
        <w:shd w:val="clear" w:color="auto" w:fill="auto"/>
        <w:spacing w:before="0" w:line="350" w:lineRule="exact"/>
        <w:ind w:firstLine="760"/>
        <w:jc w:val="both"/>
      </w:pPr>
      <w:r>
        <w:t xml:space="preserve">При этом отстранение не привитого ребенка от посещения детского сада проводится только в случае невозможности перевода в другую группу по объективным причинам (отсутствие принципа групповой изоляции </w:t>
      </w:r>
      <w:r>
        <w:t>в образовательной организации, проведение совместных мероприятий в музыкальном, актовом, спортивном залах, наличие иммунизированных против полиомиелита в течение последних 60 календарных дней по всем группам).</w:t>
      </w:r>
    </w:p>
    <w:p w:rsidR="00902FB4" w:rsidRPr="006B04B4" w:rsidRDefault="009D7BFF" w:rsidP="006B04B4">
      <w:pPr>
        <w:pStyle w:val="30"/>
        <w:framePr w:w="10306" w:h="14926" w:hRule="exact" w:wrap="none" w:vAnchor="page" w:hAnchor="page" w:x="1009" w:y="711"/>
        <w:shd w:val="clear" w:color="auto" w:fill="auto"/>
        <w:spacing w:after="0" w:line="350" w:lineRule="exact"/>
        <w:ind w:firstLine="760"/>
        <w:jc w:val="both"/>
        <w:rPr>
          <w:color w:val="FF0000"/>
        </w:rPr>
      </w:pPr>
      <w:r w:rsidRPr="006B04B4">
        <w:rPr>
          <w:color w:val="FF0000"/>
        </w:rPr>
        <w:t>Разобщение направлено на предупреждение инфици</w:t>
      </w:r>
      <w:r w:rsidRPr="006B04B4">
        <w:rPr>
          <w:color w:val="FF0000"/>
        </w:rPr>
        <w:t>рования и заболевания незащищенного (не привитого) ребенка.</w:t>
      </w:r>
    </w:p>
    <w:p w:rsidR="00902FB4" w:rsidRDefault="009D7BFF" w:rsidP="006B04B4">
      <w:pPr>
        <w:pStyle w:val="20"/>
        <w:framePr w:w="10306" w:h="14926" w:hRule="exact" w:wrap="none" w:vAnchor="page" w:hAnchor="page" w:x="1009" w:y="711"/>
        <w:shd w:val="clear" w:color="auto" w:fill="auto"/>
        <w:spacing w:before="0" w:line="350" w:lineRule="exact"/>
        <w:ind w:firstLine="760"/>
        <w:jc w:val="both"/>
      </w:pPr>
      <w:r>
        <w:t>Проведение в группе одномоментной вакцинации не представляется возможным по причине того, что профилактические прививки при изменении сроков вакцинации проводятся по индивидуальным схемам.</w:t>
      </w:r>
    </w:p>
    <w:p w:rsidR="00902FB4" w:rsidRDefault="009D7BFF" w:rsidP="006B04B4">
      <w:pPr>
        <w:pStyle w:val="20"/>
        <w:framePr w:w="10306" w:h="14926" w:hRule="exact" w:wrap="none" w:vAnchor="page" w:hAnchor="page" w:x="1009" w:y="711"/>
        <w:shd w:val="clear" w:color="auto" w:fill="auto"/>
        <w:spacing w:before="0" w:after="308" w:line="350" w:lineRule="exact"/>
        <w:ind w:firstLine="760"/>
        <w:jc w:val="both"/>
      </w:pPr>
      <w:r>
        <w:t>Порядок</w:t>
      </w:r>
      <w:r>
        <w:t xml:space="preserve"> действий при разобщении воспитанников в данной ситуации регламентируется локальным актом образовательной организации.</w:t>
      </w:r>
    </w:p>
    <w:p w:rsidR="00902FB4" w:rsidRPr="006B04B4" w:rsidRDefault="009D7BFF" w:rsidP="006B04B4">
      <w:pPr>
        <w:pStyle w:val="10"/>
        <w:framePr w:w="10306" w:h="14926" w:hRule="exact" w:wrap="none" w:vAnchor="page" w:hAnchor="page" w:x="1009" w:y="711"/>
        <w:shd w:val="clear" w:color="auto" w:fill="auto"/>
        <w:spacing w:line="341" w:lineRule="exact"/>
        <w:ind w:firstLine="760"/>
        <w:jc w:val="both"/>
        <w:rPr>
          <w:color w:val="C00000"/>
        </w:rPr>
      </w:pPr>
      <w:bookmarkStart w:id="3" w:name="bookmark2"/>
      <w:r w:rsidRPr="006B04B4">
        <w:rPr>
          <w:color w:val="C00000"/>
        </w:rPr>
        <w:t xml:space="preserve">С целью профилактики </w:t>
      </w:r>
      <w:r w:rsidRPr="006B04B4">
        <w:rPr>
          <w:rStyle w:val="11"/>
          <w:b/>
          <w:color w:val="C00000"/>
        </w:rPr>
        <w:t>полиомиелита</w:t>
      </w:r>
      <w:r w:rsidRPr="006B04B4">
        <w:rPr>
          <w:rStyle w:val="11"/>
          <w:color w:val="C00000"/>
        </w:rPr>
        <w:t xml:space="preserve"> </w:t>
      </w:r>
      <w:r w:rsidRPr="006B04B4">
        <w:rPr>
          <w:color w:val="C00000"/>
        </w:rPr>
        <w:t>рекомендуется:</w:t>
      </w:r>
      <w:bookmarkEnd w:id="3"/>
    </w:p>
    <w:p w:rsidR="00902FB4" w:rsidRDefault="009D7BFF" w:rsidP="006B04B4">
      <w:pPr>
        <w:pStyle w:val="20"/>
        <w:framePr w:w="10306" w:h="14926" w:hRule="exact" w:wrap="none" w:vAnchor="page" w:hAnchor="page" w:x="1009" w:y="711"/>
        <w:numPr>
          <w:ilvl w:val="0"/>
          <w:numId w:val="2"/>
        </w:numPr>
        <w:shd w:val="clear" w:color="auto" w:fill="auto"/>
        <w:tabs>
          <w:tab w:val="left" w:pos="991"/>
        </w:tabs>
        <w:spacing w:before="0" w:line="341" w:lineRule="exact"/>
        <w:ind w:firstLine="760"/>
        <w:jc w:val="both"/>
      </w:pPr>
      <w:r>
        <w:t>соблюдать правила личной гигиены (мытье рук);</w:t>
      </w:r>
    </w:p>
    <w:p w:rsidR="00902FB4" w:rsidRDefault="009D7BFF" w:rsidP="006B04B4">
      <w:pPr>
        <w:pStyle w:val="20"/>
        <w:framePr w:w="10306" w:h="14926" w:hRule="exact" w:wrap="none" w:vAnchor="page" w:hAnchor="page" w:x="1009" w:y="711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41" w:lineRule="exact"/>
        <w:ind w:firstLine="760"/>
        <w:jc w:val="both"/>
      </w:pPr>
      <w:r>
        <w:t xml:space="preserve">свежие овощи, фрукты, сухофрукты и зелень </w:t>
      </w:r>
      <w:r>
        <w:t>перед употреблением после мытья под проточной водой сполоснуть кипяченой или бутилированной водой;</w:t>
      </w:r>
    </w:p>
    <w:p w:rsidR="00902FB4" w:rsidRDefault="009D7BFF" w:rsidP="006B04B4">
      <w:pPr>
        <w:pStyle w:val="20"/>
        <w:framePr w:w="10306" w:h="14926" w:hRule="exact" w:wrap="none" w:vAnchor="page" w:hAnchor="page" w:x="1009" w:y="711"/>
        <w:shd w:val="clear" w:color="auto" w:fill="auto"/>
        <w:spacing w:before="0" w:line="341" w:lineRule="exact"/>
        <w:ind w:firstLine="760"/>
        <w:jc w:val="both"/>
      </w:pPr>
      <w:r>
        <w:t>если вы путешествуете:</w:t>
      </w:r>
    </w:p>
    <w:p w:rsidR="00902FB4" w:rsidRDefault="009D7BFF" w:rsidP="006B04B4">
      <w:pPr>
        <w:pStyle w:val="20"/>
        <w:framePr w:w="10306" w:h="14926" w:hRule="exact" w:wrap="none" w:vAnchor="page" w:hAnchor="page" w:x="1009" w:y="711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41" w:lineRule="exact"/>
        <w:ind w:firstLine="760"/>
        <w:jc w:val="both"/>
      </w:pPr>
      <w:r>
        <w:t>прием пищи допускается в определенных пунктах питания, где используются продукты гарантированного качества промышленного производства</w:t>
      </w:r>
    </w:p>
    <w:p w:rsidR="00902FB4" w:rsidRDefault="009D7BFF" w:rsidP="006B04B4">
      <w:pPr>
        <w:pStyle w:val="20"/>
        <w:framePr w:w="10306" w:h="14926" w:hRule="exact" w:wrap="none" w:vAnchor="page" w:hAnchor="page" w:x="1009" w:y="711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41" w:lineRule="exact"/>
        <w:ind w:firstLine="760"/>
        <w:jc w:val="both"/>
      </w:pPr>
      <w:r>
        <w:t>для питья должна использоваться только бутилированная или кипяченая вода, напитки, соки промышленного производства;</w:t>
      </w:r>
    </w:p>
    <w:p w:rsidR="00902FB4" w:rsidRDefault="009D7BFF" w:rsidP="006B04B4">
      <w:pPr>
        <w:pStyle w:val="20"/>
        <w:framePr w:w="10306" w:h="14926" w:hRule="exact" w:wrap="none" w:vAnchor="page" w:hAnchor="page" w:x="1009" w:y="711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41" w:lineRule="exact"/>
        <w:ind w:firstLine="760"/>
        <w:jc w:val="both"/>
      </w:pPr>
      <w:r>
        <w:t>запрещается покупать лед для охлаждения напитков у продавцов уличной торговли, а также использование в пищу продуктов традиционной националь</w:t>
      </w:r>
      <w:r>
        <w:t>ной кухни, продуктов с просроченным сроком годности, не прошедших гарантированную технологическую обработку, а также приобретенных в местах уличной торговли;</w:t>
      </w:r>
    </w:p>
    <w:p w:rsidR="00902FB4" w:rsidRDefault="009D7BFF" w:rsidP="006B04B4">
      <w:pPr>
        <w:pStyle w:val="20"/>
        <w:framePr w:w="10306" w:h="14926" w:hRule="exact" w:wrap="none" w:vAnchor="page" w:hAnchor="page" w:x="1009" w:y="711"/>
        <w:numPr>
          <w:ilvl w:val="0"/>
          <w:numId w:val="2"/>
        </w:numPr>
        <w:shd w:val="clear" w:color="auto" w:fill="auto"/>
        <w:tabs>
          <w:tab w:val="left" w:pos="991"/>
        </w:tabs>
        <w:spacing w:before="0" w:after="317" w:line="341" w:lineRule="exact"/>
        <w:ind w:firstLine="760"/>
        <w:jc w:val="both"/>
      </w:pPr>
      <w:r>
        <w:t>купание туристов разрешается только в бассейнах и специальных водоемах.</w:t>
      </w:r>
    </w:p>
    <w:p w:rsidR="006B04B4" w:rsidRDefault="006B04B4" w:rsidP="006B04B4">
      <w:pPr>
        <w:pStyle w:val="40"/>
        <w:framePr w:w="10306" w:h="14926" w:hRule="exact" w:wrap="none" w:vAnchor="page" w:hAnchor="page" w:x="1009" w:y="711"/>
        <w:shd w:val="clear" w:color="auto" w:fill="auto"/>
        <w:spacing w:before="0" w:after="311" w:line="320" w:lineRule="exact"/>
        <w:ind w:left="20"/>
        <w:rPr>
          <w:color w:val="FF0000"/>
        </w:rPr>
      </w:pPr>
    </w:p>
    <w:p w:rsidR="00902FB4" w:rsidRPr="00DE022C" w:rsidRDefault="009D7BFF" w:rsidP="006B04B4">
      <w:pPr>
        <w:pStyle w:val="40"/>
        <w:framePr w:w="10306" w:h="14926" w:hRule="exact" w:wrap="none" w:vAnchor="page" w:hAnchor="page" w:x="1009" w:y="711"/>
        <w:shd w:val="clear" w:color="auto" w:fill="auto"/>
        <w:spacing w:before="0" w:after="311" w:line="320" w:lineRule="exact"/>
        <w:ind w:left="20"/>
        <w:rPr>
          <w:color w:val="FF0000"/>
        </w:rPr>
      </w:pPr>
      <w:r w:rsidRPr="00DE022C">
        <w:rPr>
          <w:color w:val="FF0000"/>
        </w:rPr>
        <w:t xml:space="preserve">Уважаемые родители, </w:t>
      </w:r>
      <w:r w:rsidRPr="00DE022C">
        <w:rPr>
          <w:color w:val="FF0000"/>
        </w:rPr>
        <w:t>знайте:</w:t>
      </w:r>
    </w:p>
    <w:p w:rsidR="00902FB4" w:rsidRPr="00DE022C" w:rsidRDefault="009D7BFF" w:rsidP="006B04B4">
      <w:pPr>
        <w:pStyle w:val="40"/>
        <w:framePr w:w="10306" w:h="14926" w:hRule="exact" w:wrap="none" w:vAnchor="page" w:hAnchor="page" w:x="1009" w:y="711"/>
        <w:shd w:val="clear" w:color="auto" w:fill="auto"/>
        <w:spacing w:before="0" w:after="370" w:line="408" w:lineRule="exact"/>
        <w:ind w:left="20"/>
        <w:rPr>
          <w:color w:val="FF0000"/>
        </w:rPr>
      </w:pPr>
      <w:r w:rsidRPr="00DE022C">
        <w:rPr>
          <w:color w:val="FF0000"/>
        </w:rPr>
        <w:t>только прививки могут защитить ваших детей от заболевания</w:t>
      </w:r>
      <w:r w:rsidRPr="00DE022C">
        <w:rPr>
          <w:color w:val="FF0000"/>
        </w:rPr>
        <w:br/>
        <w:t>полиомиелитом и его тяжелых последствий.</w:t>
      </w:r>
    </w:p>
    <w:p w:rsidR="00902FB4" w:rsidRPr="00DE022C" w:rsidRDefault="009D7BFF" w:rsidP="006B04B4">
      <w:pPr>
        <w:pStyle w:val="40"/>
        <w:framePr w:w="10306" w:h="14926" w:hRule="exact" w:wrap="none" w:vAnchor="page" w:hAnchor="page" w:x="1009" w:y="711"/>
        <w:shd w:val="clear" w:color="auto" w:fill="auto"/>
        <w:spacing w:before="0" w:after="0" w:line="320" w:lineRule="exact"/>
        <w:ind w:left="20"/>
        <w:rPr>
          <w:color w:val="FF0000"/>
        </w:rPr>
      </w:pPr>
      <w:r w:rsidRPr="00DE022C">
        <w:rPr>
          <w:color w:val="FF0000"/>
        </w:rPr>
        <w:t>БЕРЕГИТЕ ЗДОРОВЬЕ ВАШИХ ДЕТЕЙ!</w:t>
      </w:r>
    </w:p>
    <w:p w:rsidR="00902FB4" w:rsidRDefault="00902FB4">
      <w:pPr>
        <w:rPr>
          <w:sz w:val="2"/>
          <w:szCs w:val="2"/>
        </w:rPr>
      </w:pPr>
    </w:p>
    <w:sectPr w:rsidR="00902F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FF" w:rsidRDefault="009D7BFF">
      <w:r>
        <w:separator/>
      </w:r>
    </w:p>
  </w:endnote>
  <w:endnote w:type="continuationSeparator" w:id="0">
    <w:p w:rsidR="009D7BFF" w:rsidRDefault="009D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FF" w:rsidRDefault="009D7BFF"/>
  </w:footnote>
  <w:footnote w:type="continuationSeparator" w:id="0">
    <w:p w:rsidR="009D7BFF" w:rsidRDefault="009D7B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34164"/>
    <w:multiLevelType w:val="multilevel"/>
    <w:tmpl w:val="9AAAD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F62309"/>
    <w:multiLevelType w:val="multilevel"/>
    <w:tmpl w:val="891C7E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2FB4"/>
    <w:rsid w:val="00121F97"/>
    <w:rsid w:val="0026515A"/>
    <w:rsid w:val="00500AFD"/>
    <w:rsid w:val="006B04B4"/>
    <w:rsid w:val="00902FB4"/>
    <w:rsid w:val="009D7BFF"/>
    <w:rsid w:val="00D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E5E6"/>
  <w15:docId w15:val="{21449092-1CA5-499C-8894-6BCE436F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6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2023-03-02T09:29:00Z</dcterms:created>
  <dcterms:modified xsi:type="dcterms:W3CDTF">2023-03-02T09:37:00Z</dcterms:modified>
</cp:coreProperties>
</file>